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color w:val="191919"/>
        </w:rPr>
        <w:t>QBR - Elektra Rewards - Q1 2026 (Ejemplo)</w:t>
      </w:r>
    </w:p>
    <w:p>
      <w:r>
        <w:rPr>
          <w:i/>
          <w:color w:val="D97757"/>
        </w:rPr>
        <w:t>Elektra Rewards - Direccion de Lealtad - Q1 2026 - EJEMPLO DE REFERENCIA</w:t>
      </w:r>
    </w:p>
    <w:p>
      <w:pPr>
        <w:pStyle w:val="Heading1"/>
      </w:pPr>
      <w:r>
        <w:t>1. Resumen ejecutivo</w:t>
      </w:r>
    </w:p>
    <w:p>
      <w:r>
        <w:t>Elektra Rewards cerro Q1 con crecimiento solido de redencion (+6 pp vs meta) y un NPS de 61, el mas alto en cuatro trimestres. La nota de alerta es el churn: subio a 8.4% en febrero por friccion en el proceso de canje movil, ya corregido en marzo. Pedimos al comite aprobar la inversion en la app de canje y el nuevo tramo de recompensas expres. Recomendacion: mantener el rumbo, priorizar retencion.</w:t>
      </w:r>
    </w:p>
    <w:p>
      <w:pPr>
        <w:pStyle w:val="Heading1"/>
      </w:pPr>
      <w:r>
        <w:t>2. KPIs vs meta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KPI</w:t>
            </w:r>
          </w:p>
        </w:tc>
        <w:tc>
          <w:tcPr>
            <w:tcW w:type="dxa" w:w="1728"/>
          </w:tcPr>
          <w:p>
            <w:r>
              <w:t>Meta</w:t>
            </w:r>
          </w:p>
        </w:tc>
        <w:tc>
          <w:tcPr>
            <w:tcW w:type="dxa" w:w="1728"/>
          </w:tcPr>
          <w:p>
            <w:r>
              <w:t>Real</w:t>
            </w:r>
          </w:p>
        </w:tc>
        <w:tc>
          <w:tcPr>
            <w:tcW w:type="dxa" w:w="1728"/>
          </w:tcPr>
          <w:p>
            <w:r>
              <w:t>Delta vs meta</w:t>
            </w:r>
          </w:p>
        </w:tc>
        <w:tc>
          <w:tcPr>
            <w:tcW w:type="dxa" w:w="1728"/>
          </w:tcPr>
          <w:p>
            <w:r>
              <w:t>Estado</w:t>
            </w:r>
          </w:p>
        </w:tc>
      </w:tr>
      <w:tr>
        <w:tc>
          <w:tcPr>
            <w:tcW w:type="dxa" w:w="1728"/>
          </w:tcPr>
          <w:p>
            <w:r>
              <w:t>Churn (%)</w:t>
            </w:r>
          </w:p>
        </w:tc>
        <w:tc>
          <w:tcPr>
            <w:tcW w:type="dxa" w:w="1728"/>
          </w:tcPr>
          <w:p>
            <w:r>
              <w:t>6.0</w:t>
            </w:r>
          </w:p>
        </w:tc>
        <w:tc>
          <w:tcPr>
            <w:tcW w:type="dxa" w:w="1728"/>
          </w:tcPr>
          <w:p>
            <w:r>
              <w:t>8.4</w:t>
            </w:r>
          </w:p>
        </w:tc>
        <w:tc>
          <w:tcPr>
            <w:tcW w:type="dxa" w:w="1728"/>
          </w:tcPr>
          <w:p>
            <w:r>
              <w:t>+2.4</w:t>
            </w:r>
          </w:p>
        </w:tc>
        <w:tc>
          <w:tcPr>
            <w:tcW w:type="dxa" w:w="1728"/>
          </w:tcPr>
          <w:p>
            <w:r>
              <w:t>ROJO</w:t>
            </w:r>
          </w:p>
        </w:tc>
      </w:tr>
      <w:tr>
        <w:tc>
          <w:tcPr>
            <w:tcW w:type="dxa" w:w="1728"/>
          </w:tcPr>
          <w:p>
            <w:r>
              <w:t>Redencion (%)</w:t>
            </w:r>
          </w:p>
        </w:tc>
        <w:tc>
          <w:tcPr>
            <w:tcW w:type="dxa" w:w="1728"/>
          </w:tcPr>
          <w:p>
            <w:r>
              <w:t>42.0</w:t>
            </w:r>
          </w:p>
        </w:tc>
        <w:tc>
          <w:tcPr>
            <w:tcW w:type="dxa" w:w="1728"/>
          </w:tcPr>
          <w:p>
            <w:r>
              <w:t>48.0</w:t>
            </w:r>
          </w:p>
        </w:tc>
        <w:tc>
          <w:tcPr>
            <w:tcW w:type="dxa" w:w="1728"/>
          </w:tcPr>
          <w:p>
            <w:r>
              <w:t>+6.0</w:t>
            </w:r>
          </w:p>
        </w:tc>
        <w:tc>
          <w:tcPr>
            <w:tcW w:type="dxa" w:w="1728"/>
          </w:tcPr>
          <w:p>
            <w:r>
              <w:t>VERDE</w:t>
            </w:r>
          </w:p>
        </w:tc>
      </w:tr>
      <w:tr>
        <w:tc>
          <w:tcPr>
            <w:tcW w:type="dxa" w:w="1728"/>
          </w:tcPr>
          <w:p>
            <w:r>
              <w:t>NPS</w:t>
            </w:r>
          </w:p>
        </w:tc>
        <w:tc>
          <w:tcPr>
            <w:tcW w:type="dxa" w:w="1728"/>
          </w:tcPr>
          <w:p>
            <w:r>
              <w:t>55</w:t>
            </w:r>
          </w:p>
        </w:tc>
        <w:tc>
          <w:tcPr>
            <w:tcW w:type="dxa" w:w="1728"/>
          </w:tcPr>
          <w:p>
            <w:r>
              <w:t>61</w:t>
            </w:r>
          </w:p>
        </w:tc>
        <w:tc>
          <w:tcPr>
            <w:tcW w:type="dxa" w:w="1728"/>
          </w:tcPr>
          <w:p>
            <w:r>
              <w:t>+6</w:t>
            </w:r>
          </w:p>
        </w:tc>
        <w:tc>
          <w:tcPr>
            <w:tcW w:type="dxa" w:w="1728"/>
          </w:tcPr>
          <w:p>
            <w:r>
              <w:t>VERDE</w:t>
            </w:r>
          </w:p>
        </w:tc>
      </w:tr>
      <w:tr>
        <w:tc>
          <w:tcPr>
            <w:tcW w:type="dxa" w:w="1728"/>
          </w:tcPr>
          <w:p>
            <w:r>
              <w:t>ROI campanas (%)</w:t>
            </w:r>
          </w:p>
        </w:tc>
        <w:tc>
          <w:tcPr>
            <w:tcW w:type="dxa" w:w="1728"/>
          </w:tcPr>
          <w:p>
            <w:r>
              <w:t>150</w:t>
            </w:r>
          </w:p>
        </w:tc>
        <w:tc>
          <w:tcPr>
            <w:tcW w:type="dxa" w:w="1728"/>
          </w:tcPr>
          <w:p>
            <w:r>
              <w:t>138</w:t>
            </w:r>
          </w:p>
        </w:tc>
        <w:tc>
          <w:tcPr>
            <w:tcW w:type="dxa" w:w="1728"/>
          </w:tcPr>
          <w:p>
            <w:r>
              <w:t>-12</w:t>
            </w:r>
          </w:p>
        </w:tc>
        <w:tc>
          <w:tcPr>
            <w:tcW w:type="dxa" w:w="1728"/>
          </w:tcPr>
          <w:p>
            <w:r>
              <w:t>AMBAR</w:t>
            </w:r>
          </w:p>
        </w:tc>
      </w:tr>
      <w:tr>
        <w:tc>
          <w:tcPr>
            <w:tcW w:type="dxa" w:w="1728"/>
          </w:tcPr>
          <w:p>
            <w:r>
              <w:t>Trafico tienda (miles)</w:t>
            </w:r>
          </w:p>
        </w:tc>
        <w:tc>
          <w:tcPr>
            <w:tcW w:type="dxa" w:w="1728"/>
          </w:tcPr>
          <w:p>
            <w:r>
              <w:t>820</w:t>
            </w:r>
          </w:p>
        </w:tc>
        <w:tc>
          <w:tcPr>
            <w:tcW w:type="dxa" w:w="1728"/>
          </w:tcPr>
          <w:p>
            <w:r>
              <w:t>845</w:t>
            </w:r>
          </w:p>
        </w:tc>
        <w:tc>
          <w:tcPr>
            <w:tcW w:type="dxa" w:w="1728"/>
          </w:tcPr>
          <w:p>
            <w:r>
              <w:t>+25</w:t>
            </w:r>
          </w:p>
        </w:tc>
        <w:tc>
          <w:tcPr>
            <w:tcW w:type="dxa" w:w="1728"/>
          </w:tcPr>
          <w:p>
            <w:r>
              <w:t>VERDE</w:t>
            </w:r>
          </w:p>
        </w:tc>
      </w:tr>
    </w:tbl>
    <w:p>
      <w:pPr>
        <w:pStyle w:val="Heading1"/>
      </w:pPr>
      <w:r>
        <w:t>3. Riesgos</w:t>
      </w:r>
    </w:p>
    <w:p>
      <w:pPr>
        <w:pStyle w:val="ListNumber"/>
      </w:pPr>
      <w:r>
        <w:t>Churn elevado por friccion en canje movil - impacto alto, probabilidad media. Mitigacion: hotfix de la app desplegado en marzo; monitoreo semanal del embudo de canje.</w:t>
      </w:r>
    </w:p>
    <w:p>
      <w:pPr>
        <w:pStyle w:val="ListNumber"/>
      </w:pPr>
      <w:r>
        <w:t>ROI de campanas por debajo de meta - impacto medio, probabilidad media. Mitigacion: reasignar presupuesto de display a CRM y recompensas personalizadas.</w:t>
      </w:r>
    </w:p>
    <w:p>
      <w:pPr>
        <w:pStyle w:val="ListNumber"/>
      </w:pPr>
      <w:r>
        <w:t>Dependencia de un solo proveedor de SMS para notificaciones - impacto medio, probabilidad baja. Mitigacion: contratar proveedor secundario en Q2.</w:t>
      </w:r>
    </w:p>
    <w:p>
      <w:pPr>
        <w:pStyle w:val="Heading1"/>
      </w:pPr>
      <w:r>
        <w:t>4. Decisiones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Decision requerida</w:t>
            </w:r>
          </w:p>
        </w:tc>
        <w:tc>
          <w:tcPr>
            <w:tcW w:type="dxa" w:w="2880"/>
          </w:tcPr>
          <w:p>
            <w:r>
              <w:t>Responsable</w:t>
            </w:r>
          </w:p>
        </w:tc>
        <w:tc>
          <w:tcPr>
            <w:tcW w:type="dxa" w:w="2880"/>
          </w:tcPr>
          <w:p>
            <w:r>
              <w:t>Fecha limite</w:t>
            </w:r>
          </w:p>
        </w:tc>
      </w:tr>
      <w:tr>
        <w:tc>
          <w:tcPr>
            <w:tcW w:type="dxa" w:w="2880"/>
          </w:tcPr>
          <w:p>
            <w:r>
              <w:t>Aprobar inversion de $4.2M MXN en rediseno de canje movil</w:t>
            </w:r>
          </w:p>
        </w:tc>
        <w:tc>
          <w:tcPr>
            <w:tcW w:type="dxa" w:w="2880"/>
          </w:tcPr>
          <w:p>
            <w:r>
              <w:t>Dir. Lealtad + CFO</w:t>
            </w:r>
          </w:p>
        </w:tc>
        <w:tc>
          <w:tcPr>
            <w:tcW w:type="dxa" w:w="2880"/>
          </w:tcPr>
          <w:p>
            <w:r>
              <w:t>15-abr-2026</w:t>
            </w:r>
          </w:p>
        </w:tc>
      </w:tr>
      <w:tr>
        <w:tc>
          <w:tcPr>
            <w:tcW w:type="dxa" w:w="2880"/>
          </w:tcPr>
          <w:p>
            <w:r>
              <w:t>Lanzar tramo 'Recompensas Expres' en el top 20 de tiendas</w:t>
            </w:r>
          </w:p>
        </w:tc>
        <w:tc>
          <w:tcPr>
            <w:tcW w:type="dxa" w:w="2880"/>
          </w:tcPr>
          <w:p>
            <w:r>
              <w:t>Dir. Lealtad</w:t>
            </w:r>
          </w:p>
        </w:tc>
        <w:tc>
          <w:tcPr>
            <w:tcW w:type="dxa" w:w="2880"/>
          </w:tcPr>
          <w:p>
            <w:r>
              <w:t>30-abr-2026</w:t>
            </w:r>
          </w:p>
        </w:tc>
      </w:tr>
      <w:tr>
        <w:tc>
          <w:tcPr>
            <w:tcW w:type="dxa" w:w="2880"/>
          </w:tcPr>
          <w:p>
            <w:r>
              <w:t>Autorizar proveedor secundario de SMS</w:t>
            </w:r>
          </w:p>
        </w:tc>
        <w:tc>
          <w:tcPr>
            <w:tcW w:type="dxa" w:w="2880"/>
          </w:tcPr>
          <w:p>
            <w:r>
              <w:t>Dir. TI</w:t>
            </w:r>
          </w:p>
        </w:tc>
        <w:tc>
          <w:tcPr>
            <w:tcW w:type="dxa" w:w="2880"/>
          </w:tcPr>
          <w:p>
            <w:r>
              <w:t>10-may-2026</w:t>
            </w:r>
          </w:p>
        </w:tc>
      </w:tr>
    </w:tbl>
    <w:p/>
    <w:p>
      <w:r>
        <w:rPr>
          <w:i/>
          <w:color w:val="D97757"/>
        </w:rPr>
        <w:t>Workshop Claude Avanzado - Grupo Salinas - v1.0 - 2026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